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16745793"/>
        <w:tag w:val="goog_rdk_0"/>
      </w:sdtPr>
      <w:sdtContent>
        <w:tbl>
          <w:tblPr>
            <w:tblStyle w:val="Table1"/>
            <w:tblW w:w="1008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7080"/>
            <w:gridCol w:w="3000"/>
            <w:tblGridChange w:id="0">
              <w:tblGrid>
                <w:gridCol w:w="7080"/>
                <w:gridCol w:w="30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0d2b5e" w:val="clear"/>
                <w:tcMar>
                  <w:top w:w="200.0" w:type="dxa"/>
                  <w:left w:w="280.0" w:type="dxa"/>
                  <w:bottom w:w="200.0" w:type="dxa"/>
                  <w:right w:w="280.0" w:type="dxa"/>
                </w:tcMar>
              </w:tcPr>
              <w:p w:rsidR="00000000" w:rsidDel="00000000" w:rsidP="00000000" w:rsidRDefault="00000000" w:rsidRPr="00000000" w14:paraId="00000002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bCs w:val="1"/>
                    <w:color w:val="ffffff"/>
                    <w:sz w:val="32"/>
                    <w:szCs w:val="32"/>
                    <w:rtl w:val="0"/>
                  </w:rPr>
                  <w:t xml:space="preserve">STEP 5: Weekly Search Tracker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3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color w:val="aac0e8"/>
                    <w:rtl w:val="0"/>
                  </w:rPr>
                  <w:t xml:space="preserve">DAFThub Housing Market Guide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e87722" w:val="clear"/>
                <w:tcMar>
                  <w:top w:w="120.0" w:type="dxa"/>
                  <w:left w:w="180.0" w:type="dxa"/>
                  <w:bottom w:w="120.0" w:type="dxa"/>
                  <w:right w:w="180.0" w:type="dxa"/>
                </w:tcMar>
                <w:vAlign w:val="center"/>
              </w:tcPr>
              <w:p w:rsidR="00000000" w:rsidDel="00000000" w:rsidP="00000000" w:rsidRDefault="00000000" w:rsidRPr="00000000" w14:paraId="00000004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bCs w:val="1"/>
                    <w:color w:val="ffffff"/>
                    <w:sz w:val="18"/>
                    <w:szCs w:val="18"/>
                    <w:rtl w:val="0"/>
                  </w:rPr>
                  <w:t xml:space="preserve">dafthub.nl/doors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5">
      <w:pPr>
        <w:spacing w:after="120" w:lineRule="auto"/>
        <w:rPr/>
      </w:pPr>
      <w:sdt>
        <w:sdtPr>
          <w:id w:val="-51394584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e87722"/>
              <w:sz w:val="20"/>
              <w:szCs w:val="20"/>
              <w:rtl w:val="0"/>
            </w:rPr>
            <w:t xml:space="preserve">Step 5 of the DAFThub Housing Guide: keep a simple tracker — listing → contacted → viewing → offered → rejected (with dates)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e87722" w:space="1" w:sz="8" w:val="single"/>
        </w:pBdr>
        <w:spacing w:after="160" w:before="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87722" w:space="0" w:sz="4" w:val="single"/>
              <w:left w:color="e87722" w:space="0" w:sz="12" w:val="single"/>
              <w:bottom w:color="e87722" w:space="0" w:sz="4" w:val="single"/>
              <w:right w:color="e87722" w:space="0" w:sz="4" w:val="single"/>
            </w:tcBorders>
            <w:shd w:fill="fdf0e6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07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d2b5e"/>
                <w:sz w:val="22"/>
                <w:szCs w:val="22"/>
                <w:rtl w:val="0"/>
              </w:rPr>
              <w:t xml:space="preserve">Step 5 — your weekly housing workflow (how to win)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Pick your search radius and non-negotiables (budget, commute, registration need, pet rules).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Set alerts and check 2–3 times per day — speed matters.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Reply fast with your proof pack (one PDF or folder link is ideal).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60" w:lineRule="auto"/>
              <w:rPr/>
            </w:pPr>
            <w:sdt>
              <w:sdtPr>
                <w:id w:val="-745198188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• Keep this tracker: listing → contacted → viewing → offered → rejected (with dates).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After a viewing, send a short follow-up with your intended move-in date and proof pack again.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80" w:before="16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0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"/>
        <w:gridCol w:w="3200"/>
        <w:gridCol w:w="1200"/>
        <w:gridCol w:w="1200"/>
        <w:gridCol w:w="1600"/>
        <w:gridCol w:w="1400"/>
        <w:gridCol w:w="1200"/>
        <w:gridCol w:w="1400"/>
        <w:gridCol w:w="2440"/>
        <w:tblGridChange w:id="0">
          <w:tblGrid>
            <w:gridCol w:w="400"/>
            <w:gridCol w:w="3200"/>
            <w:gridCol w:w="1200"/>
            <w:gridCol w:w="1200"/>
            <w:gridCol w:w="1600"/>
            <w:gridCol w:w="1400"/>
            <w:gridCol w:w="1200"/>
            <w:gridCol w:w="1400"/>
            <w:gridCol w:w="2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d2b5e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d2b5e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LISTING (address / link)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d2b5e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RENT/MO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d2b5e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d2b5e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CONTACTED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d2b5e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VIEWING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d2b5e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OFFERED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d2b5e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OUTCOME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d2b5e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888888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888888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888888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888888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888888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888888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888888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5" w:val="clear"/>
            <w:tcMar>
              <w:top w:w="8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8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d2b5e"/>
          <w:sz w:val="22"/>
          <w:szCs w:val="22"/>
          <w:rtl w:val="0"/>
        </w:rPr>
        <w:t xml:space="preserve">Non-negotiables (fill in before you start):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Budget max: ______   |   Must register: Y / N   |   Commute max: ______    </w:t>
      </w:r>
    </w:p>
    <w:p w:rsidR="00000000" w:rsidDel="00000000" w:rsidP="00000000" w:rsidRDefault="00000000" w:rsidRPr="00000000" w14:paraId="00000058">
      <w:pPr>
        <w:spacing w:after="80" w:lineRule="auto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Pets: Y / N   |   Min size: 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d2b5e"/>
          <w:sz w:val="22"/>
          <w:szCs w:val="22"/>
          <w:rtl w:val="0"/>
        </w:rPr>
        <w:t xml:space="preserve">Outcome key: </w:t>
      </w:r>
      <w:sdt>
        <w:sdtPr>
          <w:id w:val="-511543758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✓ = signed   R = rejected   NR = no reply   W = withdrew   V = viewing booked   O = offer made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/>
      </w:pPr>
      <w:r w:rsidDel="00000000" w:rsidR="00000000" w:rsidRPr="00000000">
        <w:rPr>
          <w:rFonts w:ascii="Arial" w:cs="Arial" w:eastAsia="Arial" w:hAnsi="Arial"/>
          <w:color w:val="999999"/>
          <w:sz w:val="18"/>
          <w:szCs w:val="18"/>
          <w:rtl w:val="0"/>
        </w:rPr>
        <w:t xml:space="preserve">DAFThub Doors Housing Pack  •  dafthub.nl/</w:t>
      </w:r>
      <w:r w:rsidDel="00000000" w:rsidR="00000000" w:rsidRPr="00000000">
        <w:rPr>
          <w:color w:val="999999"/>
          <w:sz w:val="18"/>
          <w:szCs w:val="18"/>
          <w:rtl w:val="0"/>
        </w:rPr>
        <w:t xml:space="preserve">doors</w:t>
      </w:r>
      <w:r w:rsidDel="00000000" w:rsidR="00000000" w:rsidRPr="00000000">
        <w:rPr>
          <w:rFonts w:ascii="Arial" w:cs="Arial" w:eastAsia="Arial" w:hAnsi="Arial"/>
          <w:color w:val="999999"/>
          <w:sz w:val="18"/>
          <w:szCs w:val="18"/>
          <w:rtl w:val="0"/>
        </w:rPr>
        <w:t xml:space="preserve">  •  Step 5 of the DAFThub Housing Market Guide  •  © 2026 DAFThub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900" w:top="900" w:left="900" w:right="9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oep+pM2dP3HWnYXzXd5ZonXzgw==">CgMxLjAaHwoBMBIaChgICVIUChJ0YWJsZS5hemh6aWxteHJhbHIaJAoBMRIfCh0IB0IZCgVBcmlhbBIQQXJpYWwgVW5pY29kZSBNUxokCgEyEh8KHQgHQhkKBUFyaWFsEhBBcmlhbCBVbmljb2RlIE1TGiQKATMSHwodCAdCGQoFQXJpYWwSEEFyaWFsIFVuaWNvZGUgTVM4AHIhMUppUGxTSS1hS21ienRCOVZob2p0blY5WjZLcTdSLUN0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